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26" w:rsidRPr="001171FE" w:rsidRDefault="00E04712" w:rsidP="00936E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Zasady udzielania i opisywania kar indywidualnych po </w:t>
      </w:r>
      <w:r w:rsidR="005200C4">
        <w:rPr>
          <w:rFonts w:ascii="Times New Roman" w:hAnsi="Times New Roman" w:cs="Times New Roman"/>
          <w:b/>
          <w:sz w:val="28"/>
          <w:szCs w:val="28"/>
          <w:u w:val="single"/>
        </w:rPr>
        <w:t>zakończeniu meczu</w:t>
      </w:r>
    </w:p>
    <w:p w:rsidR="00E04712" w:rsidRDefault="00E04712" w:rsidP="004D2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Sędzi</w:t>
      </w:r>
      <w:r w:rsidR="00264C94">
        <w:rPr>
          <w:rFonts w:ascii="Times New Roman" w:hAnsi="Times New Roman" w:cs="Times New Roman"/>
          <w:sz w:val="28"/>
          <w:szCs w:val="28"/>
        </w:rPr>
        <w:t>a ma</w:t>
      </w:r>
      <w:r w:rsidR="00E10FA4">
        <w:rPr>
          <w:rFonts w:ascii="Times New Roman" w:hAnsi="Times New Roman" w:cs="Times New Roman"/>
          <w:sz w:val="28"/>
          <w:szCs w:val="28"/>
        </w:rPr>
        <w:t xml:space="preserve"> prawo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pokazywania żółtych i czerwonych kartek </w:t>
      </w:r>
      <w:r w:rsidR="005200C4">
        <w:rPr>
          <w:rFonts w:ascii="Times New Roman" w:hAnsi="Times New Roman" w:cs="Times New Roman"/>
          <w:sz w:val="28"/>
          <w:szCs w:val="28"/>
        </w:rPr>
        <w:t xml:space="preserve">po zakończeniu zawodów </w:t>
      </w:r>
      <w:r>
        <w:rPr>
          <w:rFonts w:ascii="Times New Roman" w:hAnsi="Times New Roman" w:cs="Times New Roman"/>
          <w:sz w:val="28"/>
          <w:szCs w:val="28"/>
        </w:rPr>
        <w:t>do momentu</w:t>
      </w:r>
      <w:r w:rsidR="00520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C94">
        <w:rPr>
          <w:rFonts w:ascii="Times New Roman" w:hAnsi="Times New Roman" w:cs="Times New Roman"/>
          <w:sz w:val="28"/>
          <w:szCs w:val="28"/>
        </w:rPr>
        <w:t xml:space="preserve">gdy znajduje się jeszcze na polu gry lub w jego najbliższym otoczeniu. </w:t>
      </w:r>
      <w:r w:rsidR="00AA0092">
        <w:rPr>
          <w:rFonts w:ascii="Times New Roman" w:hAnsi="Times New Roman" w:cs="Times New Roman"/>
          <w:sz w:val="28"/>
          <w:szCs w:val="28"/>
        </w:rPr>
        <w:t xml:space="preserve">Definicja „najbliższego otoczenia pola gry” zawarta w Postanowieniach PZPN (Art. 1) obejmuje również teren wewnątrz jego ogrodzenia oraz tunel prowadzący do szatni. Zgodnie z tą definicją nie ma przeszkód, by również za przewinienia „na żółtą/czerwoną kartkę” sędziowie </w:t>
      </w:r>
      <w:r w:rsidR="00940EF1">
        <w:rPr>
          <w:rFonts w:ascii="Times New Roman" w:hAnsi="Times New Roman" w:cs="Times New Roman"/>
          <w:sz w:val="28"/>
          <w:szCs w:val="28"/>
        </w:rPr>
        <w:t>pokazywali właściwe kartki również w tych strefach, aż do momentu zejścia zawodników do szatni.</w:t>
      </w:r>
    </w:p>
    <w:p w:rsidR="00D13FF7" w:rsidRDefault="00E04712" w:rsidP="004D2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Jakkolwiek </w:t>
      </w:r>
      <w:r w:rsidR="00940EF1">
        <w:rPr>
          <w:rFonts w:ascii="Times New Roman" w:hAnsi="Times New Roman" w:cs="Times New Roman"/>
          <w:sz w:val="28"/>
          <w:szCs w:val="28"/>
        </w:rPr>
        <w:t xml:space="preserve">dopuszcza się sytuacje, gdy </w:t>
      </w:r>
      <w:r w:rsidR="00A60CDA">
        <w:rPr>
          <w:rFonts w:ascii="Times New Roman" w:hAnsi="Times New Roman" w:cs="Times New Roman"/>
          <w:sz w:val="28"/>
          <w:szCs w:val="28"/>
        </w:rPr>
        <w:t xml:space="preserve">żółta/czerwona kartka nie zostanie </w:t>
      </w:r>
      <w:r w:rsidR="005200C4">
        <w:rPr>
          <w:rFonts w:ascii="Times New Roman" w:hAnsi="Times New Roman" w:cs="Times New Roman"/>
          <w:sz w:val="28"/>
          <w:szCs w:val="28"/>
        </w:rPr>
        <w:t xml:space="preserve">fizycznie </w:t>
      </w:r>
      <w:r w:rsidR="00A60CDA">
        <w:rPr>
          <w:rFonts w:ascii="Times New Roman" w:hAnsi="Times New Roman" w:cs="Times New Roman"/>
          <w:sz w:val="28"/>
          <w:szCs w:val="28"/>
        </w:rPr>
        <w:t>pokazana przez sędziego – np. za zachowanie w tunelu obserwowane wyłącznie przez jednego z asystentów, albo na płycie boiska</w:t>
      </w:r>
      <w:r w:rsidR="005200C4">
        <w:rPr>
          <w:rFonts w:ascii="Times New Roman" w:hAnsi="Times New Roman" w:cs="Times New Roman"/>
          <w:sz w:val="28"/>
          <w:szCs w:val="28"/>
        </w:rPr>
        <w:t xml:space="preserve">, </w:t>
      </w:r>
      <w:r w:rsidR="00F47111">
        <w:rPr>
          <w:rFonts w:ascii="Times New Roman" w:hAnsi="Times New Roman" w:cs="Times New Roman"/>
          <w:sz w:val="28"/>
          <w:szCs w:val="28"/>
        </w:rPr>
        <w:t xml:space="preserve">gdy widzi to wyłącznie sędzia techniczny. </w:t>
      </w:r>
      <w:r w:rsidR="00D13FF7">
        <w:rPr>
          <w:rFonts w:ascii="Times New Roman" w:hAnsi="Times New Roman" w:cs="Times New Roman"/>
          <w:sz w:val="28"/>
          <w:szCs w:val="28"/>
        </w:rPr>
        <w:t xml:space="preserve">Jednak takie zachowania (np. po przyjęciu przez sędziego informacji od jednego z członków swojego zespołu) również muszą być karane i opisywanie jako napomnienia i wykluczenia. </w:t>
      </w:r>
    </w:p>
    <w:p w:rsidR="00F47111" w:rsidRDefault="00D13FF7" w:rsidP="004D2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Gdy sędzia decyduje o „niepokazanej” karze indywidualnej, odpowiednia informacja winna być jak najszybciej przekazana ustnie samemu zawodnikowi i/lub kierownikowi jego drużyny, a później wpisana do załącznika (sprawozdania) jako kara indywidualna, na równi z tymi </w:t>
      </w:r>
      <w:r w:rsidR="0075752A">
        <w:rPr>
          <w:rFonts w:ascii="Times New Roman" w:hAnsi="Times New Roman" w:cs="Times New Roman"/>
          <w:sz w:val="28"/>
          <w:szCs w:val="28"/>
        </w:rPr>
        <w:t>udzielonymi w czasie meczu.</w:t>
      </w:r>
    </w:p>
    <w:p w:rsidR="00E04712" w:rsidRPr="004D2C2A" w:rsidRDefault="0075752A" w:rsidP="004D2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Zobowiązuje się sędziów do konsekwentnego opisywania n</w:t>
      </w:r>
      <w:r w:rsidR="00E04712">
        <w:rPr>
          <w:rFonts w:ascii="Times New Roman" w:hAnsi="Times New Roman" w:cs="Times New Roman"/>
          <w:sz w:val="28"/>
          <w:szCs w:val="28"/>
        </w:rPr>
        <w:t>iestosown</w:t>
      </w:r>
      <w:r>
        <w:rPr>
          <w:rFonts w:ascii="Times New Roman" w:hAnsi="Times New Roman" w:cs="Times New Roman"/>
          <w:sz w:val="28"/>
          <w:szCs w:val="28"/>
        </w:rPr>
        <w:t>ych</w:t>
      </w:r>
      <w:r w:rsidR="00E0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12">
        <w:rPr>
          <w:rFonts w:ascii="Times New Roman" w:hAnsi="Times New Roman" w:cs="Times New Roman"/>
          <w:sz w:val="28"/>
          <w:szCs w:val="28"/>
        </w:rPr>
        <w:t>zachowa</w:t>
      </w:r>
      <w:r>
        <w:rPr>
          <w:rFonts w:ascii="Times New Roman" w:hAnsi="Times New Roman" w:cs="Times New Roman"/>
          <w:sz w:val="28"/>
          <w:szCs w:val="28"/>
        </w:rPr>
        <w:t>ń</w:t>
      </w:r>
      <w:proofErr w:type="spellEnd"/>
      <w:r w:rsidR="00E04712">
        <w:rPr>
          <w:rFonts w:ascii="Times New Roman" w:hAnsi="Times New Roman" w:cs="Times New Roman"/>
          <w:sz w:val="28"/>
          <w:szCs w:val="28"/>
        </w:rPr>
        <w:t xml:space="preserve"> osób funkcyjnych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4712">
        <w:rPr>
          <w:rFonts w:ascii="Times New Roman" w:hAnsi="Times New Roman" w:cs="Times New Roman"/>
          <w:sz w:val="28"/>
          <w:szCs w:val="28"/>
        </w:rPr>
        <w:t xml:space="preserve"> mając</w:t>
      </w:r>
      <w:r w:rsidR="00265383">
        <w:rPr>
          <w:rFonts w:ascii="Times New Roman" w:hAnsi="Times New Roman" w:cs="Times New Roman"/>
          <w:sz w:val="28"/>
          <w:szCs w:val="28"/>
        </w:rPr>
        <w:t>ych</w:t>
      </w:r>
      <w:r w:rsidR="00E04712">
        <w:rPr>
          <w:rFonts w:ascii="Times New Roman" w:hAnsi="Times New Roman" w:cs="Times New Roman"/>
          <w:sz w:val="28"/>
          <w:szCs w:val="28"/>
        </w:rPr>
        <w:t xml:space="preserve"> miejsce po zakończeniu meczu (po ich wejściu na płytę boiska lub w drodze z boiska do szatni)</w:t>
      </w:r>
      <w:r w:rsidR="00265383">
        <w:rPr>
          <w:rFonts w:ascii="Times New Roman" w:hAnsi="Times New Roman" w:cs="Times New Roman"/>
          <w:sz w:val="28"/>
          <w:szCs w:val="28"/>
        </w:rPr>
        <w:t xml:space="preserve">. Osoby funkcyjne muszą być świadome, że po ostatnim gwizdku nie są bezkarne tylko dlatego, że sędzia nie może ich już usunąć ze strefy technicznej. W rażących przypadkach (przy </w:t>
      </w:r>
      <w:proofErr w:type="spellStart"/>
      <w:r w:rsidR="00265383">
        <w:rPr>
          <w:rFonts w:ascii="Times New Roman" w:hAnsi="Times New Roman" w:cs="Times New Roman"/>
          <w:sz w:val="28"/>
          <w:szCs w:val="28"/>
        </w:rPr>
        <w:t>zachowaniach</w:t>
      </w:r>
      <w:proofErr w:type="spellEnd"/>
      <w:r w:rsidR="00265383">
        <w:rPr>
          <w:rFonts w:ascii="Times New Roman" w:hAnsi="Times New Roman" w:cs="Times New Roman"/>
          <w:sz w:val="28"/>
          <w:szCs w:val="28"/>
        </w:rPr>
        <w:t xml:space="preserve">, za </w:t>
      </w:r>
      <w:r w:rsidR="00E04712">
        <w:rPr>
          <w:rFonts w:ascii="Times New Roman" w:hAnsi="Times New Roman" w:cs="Times New Roman"/>
          <w:sz w:val="28"/>
          <w:szCs w:val="28"/>
        </w:rPr>
        <w:t xml:space="preserve">które </w:t>
      </w:r>
      <w:r w:rsidR="00265383">
        <w:rPr>
          <w:rFonts w:ascii="Times New Roman" w:hAnsi="Times New Roman" w:cs="Times New Roman"/>
          <w:sz w:val="28"/>
          <w:szCs w:val="28"/>
        </w:rPr>
        <w:t xml:space="preserve">w czasie trwania </w:t>
      </w:r>
      <w:r>
        <w:rPr>
          <w:rFonts w:ascii="Times New Roman" w:hAnsi="Times New Roman" w:cs="Times New Roman"/>
          <w:sz w:val="28"/>
          <w:szCs w:val="28"/>
        </w:rPr>
        <w:t>zawodów</w:t>
      </w:r>
      <w:r w:rsidR="00265383">
        <w:rPr>
          <w:rFonts w:ascii="Times New Roman" w:hAnsi="Times New Roman" w:cs="Times New Roman"/>
          <w:sz w:val="28"/>
          <w:szCs w:val="28"/>
        </w:rPr>
        <w:t xml:space="preserve"> sędzia pozbawiłby daną osobę funkcyjną przywileju przebywania w strefie technicznej) </w:t>
      </w:r>
      <w:r w:rsidR="005200C4">
        <w:rPr>
          <w:rFonts w:ascii="Times New Roman" w:hAnsi="Times New Roman" w:cs="Times New Roman"/>
          <w:sz w:val="28"/>
          <w:szCs w:val="28"/>
        </w:rPr>
        <w:t>opis zachowania tej osoby winien kończyć się świadczącą o tym odpowiednią adnotacją (np. „za takie zachowanie w czasie meczu p. X zostałby usunięty ze strefy technicznej”).</w:t>
      </w:r>
    </w:p>
    <w:sectPr w:rsidR="00E04712" w:rsidRPr="004D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6"/>
    <w:rsid w:val="00264C94"/>
    <w:rsid w:val="00265383"/>
    <w:rsid w:val="004D2C2A"/>
    <w:rsid w:val="005200C4"/>
    <w:rsid w:val="005631F6"/>
    <w:rsid w:val="00740499"/>
    <w:rsid w:val="0075752A"/>
    <w:rsid w:val="00936E26"/>
    <w:rsid w:val="00940EF1"/>
    <w:rsid w:val="00A60CDA"/>
    <w:rsid w:val="00AA0092"/>
    <w:rsid w:val="00B01520"/>
    <w:rsid w:val="00D13FF7"/>
    <w:rsid w:val="00E04712"/>
    <w:rsid w:val="00E10FA4"/>
    <w:rsid w:val="00E9195C"/>
    <w:rsid w:val="00E974B7"/>
    <w:rsid w:val="00F47111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677"/>
  <w15:docId w15:val="{A9F3D54A-E9AD-4969-B708-0C08BD7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36E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Picz</dc:creator>
  <cp:lastModifiedBy>Zbigniew Przesmycki</cp:lastModifiedBy>
  <cp:revision>2</cp:revision>
  <dcterms:created xsi:type="dcterms:W3CDTF">2016-11-09T13:06:00Z</dcterms:created>
  <dcterms:modified xsi:type="dcterms:W3CDTF">2016-11-09T13:06:00Z</dcterms:modified>
</cp:coreProperties>
</file>