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C4" w:rsidRDefault="008078C4">
      <w:pPr>
        <w:rPr>
          <w:lang w:val="pl-PL"/>
        </w:rPr>
      </w:pPr>
    </w:p>
    <w:p w:rsidR="0095496C" w:rsidRDefault="0095496C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Warszawa, 28.07.2015</w:t>
      </w:r>
    </w:p>
    <w:p w:rsidR="0095496C" w:rsidRPr="0095496C" w:rsidRDefault="0095496C" w:rsidP="0095496C">
      <w:pPr>
        <w:jc w:val="center"/>
        <w:rPr>
          <w:b/>
          <w:lang w:val="pl-PL"/>
        </w:rPr>
      </w:pPr>
      <w:r w:rsidRPr="0095496C">
        <w:rPr>
          <w:b/>
          <w:lang w:val="pl-PL"/>
        </w:rPr>
        <w:t>I</w:t>
      </w:r>
      <w:bookmarkStart w:id="0" w:name="_GoBack"/>
      <w:bookmarkEnd w:id="0"/>
      <w:r w:rsidRPr="0095496C">
        <w:rPr>
          <w:b/>
          <w:lang w:val="pl-PL"/>
        </w:rPr>
        <w:t>FAB – Okólnik nr 2 dotyczący Artykułu 11</w:t>
      </w:r>
    </w:p>
    <w:p w:rsidR="0095496C" w:rsidRDefault="0095496C">
      <w:pPr>
        <w:rPr>
          <w:lang w:val="pl-PL"/>
        </w:rPr>
      </w:pPr>
    </w:p>
    <w:p w:rsidR="00792E5F" w:rsidRDefault="00792E5F">
      <w:pPr>
        <w:rPr>
          <w:lang w:val="pl-PL"/>
        </w:rPr>
      </w:pPr>
      <w:r>
        <w:rPr>
          <w:lang w:val="pl-PL"/>
        </w:rPr>
        <w:t xml:space="preserve">IFAB pragnie przedstawić dodatkowe wskazówki </w:t>
      </w:r>
      <w:r w:rsidR="0067607D">
        <w:rPr>
          <w:lang w:val="pl-PL"/>
        </w:rPr>
        <w:t xml:space="preserve">i wyjaśnienia </w:t>
      </w:r>
      <w:r>
        <w:rPr>
          <w:lang w:val="pl-PL"/>
        </w:rPr>
        <w:t>dotyczące definicji „</w:t>
      </w:r>
      <w:r>
        <w:rPr>
          <w:b/>
          <w:lang w:val="pl-PL"/>
        </w:rPr>
        <w:t xml:space="preserve">przeszkadzania przeciwnikowi” </w:t>
      </w:r>
      <w:r>
        <w:rPr>
          <w:lang w:val="pl-PL"/>
        </w:rPr>
        <w:t xml:space="preserve">oraz definicji </w:t>
      </w:r>
      <w:r>
        <w:rPr>
          <w:b/>
          <w:lang w:val="pl-PL"/>
        </w:rPr>
        <w:t>„</w:t>
      </w:r>
      <w:r w:rsidR="001F6D65">
        <w:rPr>
          <w:b/>
          <w:lang w:val="pl-PL"/>
        </w:rPr>
        <w:t>parady obronnej</w:t>
      </w:r>
      <w:r>
        <w:rPr>
          <w:b/>
          <w:lang w:val="pl-PL"/>
        </w:rPr>
        <w:t>”</w:t>
      </w:r>
      <w:r>
        <w:rPr>
          <w:lang w:val="pl-PL"/>
        </w:rPr>
        <w:t xml:space="preserve"> w odniesieniu do spalonego (Przepisy Gry, str. 110)</w:t>
      </w:r>
      <w:r w:rsidR="0067607D">
        <w:rPr>
          <w:lang w:val="pl-PL"/>
        </w:rPr>
        <w:t>.</w:t>
      </w:r>
    </w:p>
    <w:p w:rsidR="0067607D" w:rsidRDefault="0067607D">
      <w:pPr>
        <w:rPr>
          <w:lang w:val="pl-PL"/>
        </w:rPr>
      </w:pPr>
      <w:r>
        <w:rPr>
          <w:lang w:val="pl-PL"/>
        </w:rPr>
        <w:t xml:space="preserve">Proszę mieć na względzie, że poniższe wyjaśnienia i wskazówki zastępują wszelkie instrukcje i wskazówki </w:t>
      </w:r>
      <w:r w:rsidR="001F6D65">
        <w:rPr>
          <w:lang w:val="pl-PL"/>
        </w:rPr>
        <w:t>wydane</w:t>
      </w:r>
      <w:r>
        <w:rPr>
          <w:lang w:val="pl-PL"/>
        </w:rPr>
        <w:t xml:space="preserve"> wcześniej odnośnie przedmiotowych zagadnień, a których źródłem nie było IFAB. Jesteśmy przekonani, </w:t>
      </w:r>
      <w:r w:rsidR="001F6D65">
        <w:rPr>
          <w:lang w:val="pl-PL"/>
        </w:rPr>
        <w:t>ż</w:t>
      </w:r>
      <w:r>
        <w:rPr>
          <w:lang w:val="pl-PL"/>
        </w:rPr>
        <w:t>e te wyjaśnienia zapewnią wysoki poziom spójności w zastosowaniu Artykułu 11.</w:t>
      </w:r>
    </w:p>
    <w:p w:rsidR="0067607D" w:rsidRDefault="0067607D" w:rsidP="0067607D">
      <w:pPr>
        <w:pStyle w:val="Akapitzlist"/>
        <w:numPr>
          <w:ilvl w:val="0"/>
          <w:numId w:val="1"/>
        </w:numPr>
        <w:rPr>
          <w:b/>
          <w:lang w:val="pl-PL"/>
        </w:rPr>
      </w:pPr>
      <w:r>
        <w:rPr>
          <w:b/>
          <w:lang w:val="pl-PL"/>
        </w:rPr>
        <w:t>Przeszkadzanie przeciwnikowi</w:t>
      </w:r>
    </w:p>
    <w:p w:rsidR="0067607D" w:rsidRDefault="0067607D" w:rsidP="0067607D">
      <w:pPr>
        <w:ind w:left="360"/>
        <w:rPr>
          <w:u w:val="single"/>
          <w:lang w:val="pl-PL"/>
        </w:rPr>
      </w:pPr>
      <w:r>
        <w:rPr>
          <w:u w:val="single"/>
          <w:lang w:val="pl-PL"/>
        </w:rPr>
        <w:t>Wyjaśnienie</w:t>
      </w:r>
    </w:p>
    <w:p w:rsidR="0067607D" w:rsidRDefault="0067607D" w:rsidP="0067607D">
      <w:pPr>
        <w:ind w:left="360"/>
        <w:rPr>
          <w:lang w:val="pl-PL"/>
        </w:rPr>
      </w:pPr>
      <w:r>
        <w:rPr>
          <w:lang w:val="pl-PL"/>
        </w:rPr>
        <w:t>Poza sytuacjami dotychczas zawartymi w Przepisach Gry, zawodnik przebywający na pozycji spalonej zostanie za to ukarany jeżeli:</w:t>
      </w:r>
    </w:p>
    <w:p w:rsidR="0067607D" w:rsidRDefault="0067607D" w:rsidP="0067607D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Ewidentnie próbuje zagrać piłkę, która znajduje się blisko niego i działanie t</w:t>
      </w:r>
      <w:r w:rsidR="001F6D65">
        <w:rPr>
          <w:lang w:val="pl-PL"/>
        </w:rPr>
        <w:t>o</w:t>
      </w:r>
      <w:r>
        <w:rPr>
          <w:lang w:val="pl-PL"/>
        </w:rPr>
        <w:t xml:space="preserve"> ma wpływ na przeciwnik</w:t>
      </w:r>
      <w:r w:rsidR="002B631C">
        <w:rPr>
          <w:lang w:val="pl-PL"/>
        </w:rPr>
        <w:t>a</w:t>
      </w:r>
      <w:r w:rsidR="001F6D65">
        <w:rPr>
          <w:lang w:val="pl-PL"/>
        </w:rPr>
        <w:t>,</w:t>
      </w:r>
    </w:p>
    <w:p w:rsidR="0067607D" w:rsidRDefault="0067607D" w:rsidP="0067607D">
      <w:pPr>
        <w:ind w:left="720"/>
        <w:rPr>
          <w:lang w:val="pl-PL"/>
        </w:rPr>
      </w:pPr>
      <w:r>
        <w:rPr>
          <w:lang w:val="pl-PL"/>
        </w:rPr>
        <w:t>Lub</w:t>
      </w:r>
    </w:p>
    <w:p w:rsidR="0067607D" w:rsidRDefault="001F6D65" w:rsidP="0067607D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p</w:t>
      </w:r>
      <w:r w:rsidR="003126A4">
        <w:rPr>
          <w:lang w:val="pl-PL"/>
        </w:rPr>
        <w:t>odejmuje ewidentne działanie, które jednoznacznie wpływa na możliwość zagrania piłki przez przeciwnika.</w:t>
      </w:r>
    </w:p>
    <w:p w:rsidR="003126A4" w:rsidRDefault="003126A4" w:rsidP="003126A4">
      <w:pPr>
        <w:ind w:left="720"/>
        <w:rPr>
          <w:u w:val="single"/>
          <w:lang w:val="pl-PL"/>
        </w:rPr>
      </w:pPr>
      <w:r>
        <w:rPr>
          <w:u w:val="single"/>
          <w:lang w:val="pl-PL"/>
        </w:rPr>
        <w:t>Wskazówki:</w:t>
      </w:r>
    </w:p>
    <w:p w:rsidR="003126A4" w:rsidRDefault="003126A4" w:rsidP="003126A4">
      <w:pPr>
        <w:pStyle w:val="Akapitzlist"/>
        <w:numPr>
          <w:ilvl w:val="0"/>
          <w:numId w:val="2"/>
        </w:numPr>
        <w:rPr>
          <w:lang w:val="pl-PL"/>
        </w:rPr>
      </w:pPr>
      <w:r>
        <w:rPr>
          <w:b/>
          <w:lang w:val="pl-PL"/>
        </w:rPr>
        <w:t>„ewidentnie próbuje”</w:t>
      </w:r>
      <w:r>
        <w:rPr>
          <w:lang w:val="pl-PL"/>
        </w:rPr>
        <w:t xml:space="preserve"> – słowa zostały dobrane tak, aby uniknąć sytuacji, w której zawodnik biegnie w kierunku piłki z dużej odległości i zostaje za to ukarany z tytułu spalonego (chyba, że znajdzie się blisko piłki),</w:t>
      </w:r>
    </w:p>
    <w:p w:rsidR="003126A4" w:rsidRDefault="003126A4" w:rsidP="003126A4">
      <w:pPr>
        <w:pStyle w:val="Akapitzlist"/>
        <w:numPr>
          <w:ilvl w:val="0"/>
          <w:numId w:val="2"/>
        </w:numPr>
        <w:rPr>
          <w:lang w:val="pl-PL"/>
        </w:rPr>
      </w:pPr>
      <w:r>
        <w:rPr>
          <w:b/>
          <w:lang w:val="pl-PL"/>
        </w:rPr>
        <w:t>„blisko”</w:t>
      </w:r>
      <w:r>
        <w:rPr>
          <w:lang w:val="pl-PL"/>
        </w:rPr>
        <w:t xml:space="preserve"> – określenie to jest ważne, żeby zawodnik nie został ukarany z tytułu spalonego, jeżeli piłka ewidentnie przelatuje ponad jego głową lub przed nim,</w:t>
      </w:r>
    </w:p>
    <w:p w:rsidR="003126A4" w:rsidRDefault="003126A4" w:rsidP="003126A4">
      <w:pPr>
        <w:pStyle w:val="Akapitzlist"/>
        <w:numPr>
          <w:ilvl w:val="0"/>
          <w:numId w:val="2"/>
        </w:numPr>
        <w:rPr>
          <w:lang w:val="pl-PL"/>
        </w:rPr>
      </w:pPr>
      <w:r w:rsidRPr="008078C4">
        <w:rPr>
          <w:b/>
          <w:lang w:val="pl-PL"/>
        </w:rPr>
        <w:t xml:space="preserve">„wpływ” </w:t>
      </w:r>
      <w:r w:rsidR="001F6D65">
        <w:rPr>
          <w:lang w:val="pl-PL"/>
        </w:rPr>
        <w:t>-</w:t>
      </w:r>
      <w:r w:rsidRPr="008078C4">
        <w:rPr>
          <w:lang w:val="pl-PL"/>
        </w:rPr>
        <w:t xml:space="preserve"> odnosi si</w:t>
      </w:r>
      <w:r w:rsidR="008078C4" w:rsidRPr="008078C4">
        <w:rPr>
          <w:lang w:val="pl-PL"/>
        </w:rPr>
        <w:t>ę</w:t>
      </w:r>
      <w:r w:rsidRPr="008078C4">
        <w:rPr>
          <w:lang w:val="pl-PL"/>
        </w:rPr>
        <w:t xml:space="preserve"> do </w:t>
      </w:r>
      <w:r w:rsidR="008078C4" w:rsidRPr="008078C4">
        <w:rPr>
          <w:lang w:val="pl-PL"/>
        </w:rPr>
        <w:t xml:space="preserve">możliwości (lub zdolności) zagrania piłki przez przeciwnika i obejmuje sytuacje, w których ruch przeciwnika w celu zagrania piłki jest opóźniony, ograniczony lub uniemożliwiony przez zawodnika przebywającego na spalonym. </w:t>
      </w:r>
    </w:p>
    <w:p w:rsidR="008078C4" w:rsidRDefault="008078C4" w:rsidP="008078C4">
      <w:pPr>
        <w:ind w:left="708"/>
        <w:rPr>
          <w:lang w:val="pl-PL"/>
        </w:rPr>
      </w:pPr>
      <w:r>
        <w:rPr>
          <w:lang w:val="pl-PL"/>
        </w:rPr>
        <w:t>Jednakże sam fakt, że zawodnik przebywa na pozycji spalonej nie zawsze oznacza, że wywiera on wpływ</w:t>
      </w:r>
      <w:r w:rsidR="003D41F5">
        <w:rPr>
          <w:lang w:val="pl-PL"/>
        </w:rPr>
        <w:t xml:space="preserve"> na przeciwnika</w:t>
      </w:r>
      <w:r>
        <w:rPr>
          <w:lang w:val="pl-PL"/>
        </w:rPr>
        <w:t>, np.:</w:t>
      </w:r>
    </w:p>
    <w:p w:rsidR="008078C4" w:rsidRDefault="0094349B" w:rsidP="003D41F5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j</w:t>
      </w:r>
      <w:r w:rsidR="003D41F5">
        <w:rPr>
          <w:lang w:val="pl-PL"/>
        </w:rPr>
        <w:t xml:space="preserve">eżeli piłka znajduje się </w:t>
      </w:r>
      <w:r w:rsidR="007E7E57">
        <w:rPr>
          <w:lang w:val="pl-PL"/>
        </w:rPr>
        <w:t>w</w:t>
      </w:r>
      <w:r w:rsidR="003D41F5">
        <w:rPr>
          <w:lang w:val="pl-PL"/>
        </w:rPr>
        <w:t xml:space="preserve"> prawej </w:t>
      </w:r>
      <w:r w:rsidR="007E7E57">
        <w:rPr>
          <w:lang w:val="pl-PL"/>
        </w:rPr>
        <w:t>strefie</w:t>
      </w:r>
      <w:r w:rsidR="003D41F5">
        <w:rPr>
          <w:lang w:val="pl-PL"/>
        </w:rPr>
        <w:t xml:space="preserve"> boiska</w:t>
      </w:r>
      <w:r w:rsidR="007E7E57">
        <w:rPr>
          <w:lang w:val="pl-PL"/>
        </w:rPr>
        <w:t xml:space="preserve">, a zawodnik przebywający na pozycji spalonej znajduje się w środkowej strefie boiska i przemieszcza się zajmując nową pozycję ofensywną, to nie może on zostać ukarany z tytułu spalonego jeżeli </w:t>
      </w:r>
      <w:r w:rsidR="007E7E57">
        <w:rPr>
          <w:u w:val="single"/>
          <w:lang w:val="pl-PL"/>
        </w:rPr>
        <w:t>jego działania nie wypływają na możliwość zagrania piłki przez przeciwnika</w:t>
      </w:r>
      <w:r w:rsidR="007E7E57">
        <w:rPr>
          <w:lang w:val="pl-PL"/>
        </w:rPr>
        <w:t>,</w:t>
      </w:r>
    </w:p>
    <w:p w:rsidR="007E7E57" w:rsidRDefault="0094349B" w:rsidP="003D41F5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lastRenderedPageBreak/>
        <w:t>g</w:t>
      </w:r>
      <w:r w:rsidR="007E7E57">
        <w:rPr>
          <w:lang w:val="pl-PL"/>
        </w:rPr>
        <w:t xml:space="preserve">dy zawodnik próbuje zagrać piłkę, podczas gdy zmierza </w:t>
      </w:r>
      <w:r>
        <w:rPr>
          <w:lang w:val="pl-PL"/>
        </w:rPr>
        <w:t xml:space="preserve">ona </w:t>
      </w:r>
      <w:r w:rsidR="007E7E57">
        <w:rPr>
          <w:lang w:val="pl-PL"/>
        </w:rPr>
        <w:t>w światło bramki, nie wywierając wpływu na przeciwnika, lub w sytuacjach, w których żaden z przeciwników nie znajduje się w jego pobliżu</w:t>
      </w:r>
      <w:r w:rsidR="00105A3F">
        <w:rPr>
          <w:lang w:val="pl-PL"/>
        </w:rPr>
        <w:t xml:space="preserve"> – zawodnik taki nie powinien zostać ukarany z tytułu spalonego.</w:t>
      </w:r>
    </w:p>
    <w:p w:rsidR="00105A3F" w:rsidRDefault="00105A3F" w:rsidP="00105A3F">
      <w:pPr>
        <w:ind w:left="708"/>
        <w:rPr>
          <w:lang w:val="pl-PL"/>
        </w:rPr>
      </w:pPr>
    </w:p>
    <w:p w:rsidR="00105A3F" w:rsidRDefault="00105A3F" w:rsidP="00105A3F">
      <w:pPr>
        <w:pStyle w:val="Akapitzlist"/>
        <w:numPr>
          <w:ilvl w:val="0"/>
          <w:numId w:val="1"/>
        </w:numPr>
        <w:rPr>
          <w:b/>
          <w:lang w:val="pl-PL"/>
        </w:rPr>
      </w:pPr>
      <w:r>
        <w:rPr>
          <w:b/>
          <w:lang w:val="pl-PL"/>
        </w:rPr>
        <w:t>„</w:t>
      </w:r>
      <w:r w:rsidR="001F6D65">
        <w:rPr>
          <w:b/>
          <w:lang w:val="pl-PL"/>
        </w:rPr>
        <w:t>Parada obronna</w:t>
      </w:r>
      <w:r>
        <w:rPr>
          <w:b/>
          <w:lang w:val="pl-PL"/>
        </w:rPr>
        <w:t>”</w:t>
      </w:r>
    </w:p>
    <w:p w:rsidR="00105A3F" w:rsidRDefault="00105A3F" w:rsidP="00105A3F">
      <w:pPr>
        <w:ind w:left="360"/>
        <w:rPr>
          <w:u w:val="single"/>
          <w:lang w:val="pl-PL"/>
        </w:rPr>
      </w:pPr>
      <w:r>
        <w:rPr>
          <w:u w:val="single"/>
          <w:lang w:val="pl-PL"/>
        </w:rPr>
        <w:t>Wyjaśnienie</w:t>
      </w:r>
    </w:p>
    <w:p w:rsidR="00105A3F" w:rsidRDefault="00105A3F" w:rsidP="00105A3F">
      <w:pPr>
        <w:ind w:left="360"/>
        <w:rPr>
          <w:lang w:val="pl-PL"/>
        </w:rPr>
      </w:pPr>
      <w:r>
        <w:rPr>
          <w:lang w:val="pl-PL"/>
        </w:rPr>
        <w:t>Artykuł 11 wskazuje sytuacje, w których zawodnik karany jest z tytułu spalonego za branie udziału w grze, do tych sytuacji należą (str. 110):</w:t>
      </w:r>
    </w:p>
    <w:p w:rsidR="00F73BF5" w:rsidRDefault="00F73BF5" w:rsidP="00F73BF5">
      <w:pPr>
        <w:pStyle w:val="Akapitzlist"/>
        <w:numPr>
          <w:ilvl w:val="0"/>
          <w:numId w:val="4"/>
        </w:numPr>
        <w:rPr>
          <w:lang w:val="pl-PL"/>
        </w:rPr>
      </w:pPr>
      <w:r>
        <w:rPr>
          <w:b/>
          <w:lang w:val="pl-PL"/>
        </w:rPr>
        <w:t>„osiąganie korzyści z przebywania na tej pozycji”</w:t>
      </w:r>
      <w:r>
        <w:rPr>
          <w:lang w:val="pl-PL"/>
        </w:rPr>
        <w:t xml:space="preserve"> oznacza zagranie piłki przez zawodnika przebywającego na pozycji spalonej:</w:t>
      </w:r>
    </w:p>
    <w:p w:rsidR="00F73BF5" w:rsidRDefault="00F73BF5" w:rsidP="00F73BF5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po rykoszecie lub odbiciu się piłki od słupka, poprzeczki lub przeciwnika,</w:t>
      </w:r>
    </w:p>
    <w:p w:rsidR="00F73BF5" w:rsidRDefault="00F73BF5" w:rsidP="00F73BF5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po rykoszecie, odbiciu się lub zagraniu jej po rozmyślnej paradzie obronnej.</w:t>
      </w:r>
    </w:p>
    <w:p w:rsidR="00F73BF5" w:rsidRDefault="00F73BF5" w:rsidP="00F73BF5">
      <w:pPr>
        <w:ind w:left="1080"/>
        <w:rPr>
          <w:lang w:val="pl-PL"/>
        </w:rPr>
      </w:pPr>
      <w:r>
        <w:rPr>
          <w:lang w:val="pl-PL"/>
        </w:rPr>
        <w:t>Zawodnik nie osiąga korzyści, jeśli przebywając na pozycji spalonej otrzyma piłkę od przeciwnika, który w sposób rozmyślny zagrywa piłkę (poza rozmyślna paradą obronną).</w:t>
      </w:r>
    </w:p>
    <w:p w:rsidR="00F73BF5" w:rsidRDefault="001F6D65" w:rsidP="00F73BF5">
      <w:pPr>
        <w:ind w:left="1080"/>
        <w:rPr>
          <w:lang w:val="pl-PL"/>
        </w:rPr>
      </w:pPr>
      <w:r>
        <w:rPr>
          <w:lang w:val="pl-PL"/>
        </w:rPr>
        <w:t xml:space="preserve">W odniesieniu do zapisu z powyższego zdania „parada obronna” może zostać wykonana przez każdego zawodnika i </w:t>
      </w:r>
      <w:r w:rsidRPr="001F6D65">
        <w:rPr>
          <w:b/>
          <w:lang w:val="pl-PL"/>
        </w:rPr>
        <w:t>nie jest ograniczona</w:t>
      </w:r>
      <w:r>
        <w:rPr>
          <w:lang w:val="pl-PL"/>
        </w:rPr>
        <w:t xml:space="preserve"> w</w:t>
      </w:r>
      <w:r w:rsidR="0094349B">
        <w:rPr>
          <w:lang w:val="pl-PL"/>
        </w:rPr>
        <w:t>y</w:t>
      </w:r>
      <w:r>
        <w:rPr>
          <w:lang w:val="pl-PL"/>
        </w:rPr>
        <w:t>łącznie do bramkarza. Wobec tego IFAB pragnie wyjaśnić, że:</w:t>
      </w:r>
    </w:p>
    <w:p w:rsidR="001F6D65" w:rsidRPr="001F6D65" w:rsidRDefault="001F6D65" w:rsidP="001F6D65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„Parada obronna: ma miejsce wtedy, gdy zawodnik zatrzymuje piłkę zmierzającą do bramki, lub bardzo blisko obok bramki i czyni to używając jakiejkolwiek części ciała z wyłączeniem rąk (poza bramkarzem we własnym pola karnym).</w:t>
      </w:r>
    </w:p>
    <w:sectPr w:rsidR="001F6D65" w:rsidRPr="001F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2E7"/>
    <w:multiLevelType w:val="hybridMultilevel"/>
    <w:tmpl w:val="C128B1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D321929"/>
    <w:multiLevelType w:val="hybridMultilevel"/>
    <w:tmpl w:val="0BAAE3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512414"/>
    <w:multiLevelType w:val="hybridMultilevel"/>
    <w:tmpl w:val="C6262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859A4"/>
    <w:multiLevelType w:val="hybridMultilevel"/>
    <w:tmpl w:val="8230021C"/>
    <w:lvl w:ilvl="0" w:tplc="FF84201E">
      <w:start w:val="1"/>
      <w:numFmt w:val="low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9A56A6"/>
    <w:multiLevelType w:val="hybridMultilevel"/>
    <w:tmpl w:val="022A54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321626"/>
    <w:multiLevelType w:val="hybridMultilevel"/>
    <w:tmpl w:val="04208592"/>
    <w:lvl w:ilvl="0" w:tplc="E72AE0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5F"/>
    <w:rsid w:val="00105A3F"/>
    <w:rsid w:val="001F6D65"/>
    <w:rsid w:val="002B631C"/>
    <w:rsid w:val="003126A4"/>
    <w:rsid w:val="003D41F5"/>
    <w:rsid w:val="006051A2"/>
    <w:rsid w:val="0067607D"/>
    <w:rsid w:val="00792E5F"/>
    <w:rsid w:val="007E7E57"/>
    <w:rsid w:val="008078C4"/>
    <w:rsid w:val="0094349B"/>
    <w:rsid w:val="0095496C"/>
    <w:rsid w:val="00A01E40"/>
    <w:rsid w:val="00C41EAD"/>
    <w:rsid w:val="00E15632"/>
    <w:rsid w:val="00E661CA"/>
    <w:rsid w:val="00F7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Picz</dc:creator>
  <cp:lastModifiedBy>Damian Picz</cp:lastModifiedBy>
  <cp:revision>4</cp:revision>
  <dcterms:created xsi:type="dcterms:W3CDTF">2015-07-28T12:03:00Z</dcterms:created>
  <dcterms:modified xsi:type="dcterms:W3CDTF">2015-07-28T14:25:00Z</dcterms:modified>
</cp:coreProperties>
</file>